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4027BA-3D83-4F65-96C6-84EC941FC2C6}"/>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