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D0EF" w14:textId="77777777" w:rsidR="008337CC" w:rsidRPr="00605EED" w:rsidRDefault="008337CC" w:rsidP="008337CC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id="0" w:name="_Hlk29496288"/>
    </w:p>
    <w:p w14:paraId="5C41169F" w14:textId="77777777" w:rsidR="008337CC" w:rsidRPr="00605EED" w:rsidRDefault="008337CC" w:rsidP="008337CC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480DBBA3" w14:textId="77777777" w:rsidR="008337CC" w:rsidRPr="00605EED" w:rsidRDefault="008337CC" w:rsidP="008337CC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tbl>
      <w:tblPr>
        <w:tblW w:w="10414" w:type="dxa"/>
        <w:tblInd w:w="108" w:type="dxa"/>
        <w:tblLook w:val="04A0" w:firstRow="1" w:lastRow="0" w:firstColumn="1" w:lastColumn="0" w:noHBand="0" w:noVBand="1"/>
      </w:tblPr>
      <w:tblGrid>
        <w:gridCol w:w="6684"/>
        <w:gridCol w:w="829"/>
        <w:gridCol w:w="816"/>
        <w:gridCol w:w="2085"/>
      </w:tblGrid>
      <w:tr w:rsidR="008337CC" w:rsidRPr="00605EED" w14:paraId="5E30D88D" w14:textId="77777777" w:rsidTr="0021050E">
        <w:trPr>
          <w:trHeight w:val="315"/>
        </w:trPr>
        <w:tc>
          <w:tcPr>
            <w:tcW w:w="6684" w:type="dxa"/>
            <w:noWrap/>
            <w:vAlign w:val="bottom"/>
            <w:hideMark/>
          </w:tcPr>
          <w:p w14:paraId="51E428F1" w14:textId="77777777" w:rsidR="008337CC" w:rsidRPr="00605EED" w:rsidRDefault="008337CC" w:rsidP="0021050E">
            <w:pPr>
              <w:spacing w:line="276" w:lineRule="auto"/>
              <w:ind w:left="4998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9037F64" w14:textId="77777777" w:rsidR="008337CC" w:rsidRPr="00605EED" w:rsidRDefault="008337CC" w:rsidP="0021050E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563AF100" w14:textId="77777777" w:rsidR="008337CC" w:rsidRPr="00605EED" w:rsidRDefault="008337CC" w:rsidP="0021050E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14:paraId="2E3C6664" w14:textId="77777777" w:rsidR="008337CC" w:rsidRPr="00605EED" w:rsidRDefault="008337CC" w:rsidP="0021050E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337CC" w:rsidRPr="00605EED" w14:paraId="311E5496" w14:textId="77777777" w:rsidTr="0021050E">
        <w:trPr>
          <w:trHeight w:val="315"/>
        </w:trPr>
        <w:tc>
          <w:tcPr>
            <w:tcW w:w="10414" w:type="dxa"/>
            <w:gridSpan w:val="4"/>
            <w:noWrap/>
            <w:vAlign w:val="bottom"/>
            <w:hideMark/>
          </w:tcPr>
          <w:p w14:paraId="12F08B57" w14:textId="77777777" w:rsidR="008337CC" w:rsidRPr="00605EED" w:rsidRDefault="008337CC" w:rsidP="0021050E">
            <w:pPr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8337CC" w:rsidRPr="00DE2A26" w14:paraId="5956D284" w14:textId="77777777" w:rsidTr="0021050E">
        <w:trPr>
          <w:trHeight w:val="315"/>
        </w:trPr>
        <w:tc>
          <w:tcPr>
            <w:tcW w:w="10414" w:type="dxa"/>
            <w:gridSpan w:val="4"/>
            <w:noWrap/>
            <w:vAlign w:val="bottom"/>
            <w:hideMark/>
          </w:tcPr>
          <w:p w14:paraId="739FB902" w14:textId="77777777" w:rsidR="008337CC" w:rsidRPr="007A5357" w:rsidRDefault="008337CC" w:rsidP="0021050E">
            <w:pPr>
              <w:spacing w:line="276" w:lineRule="auto"/>
              <w:jc w:val="center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Техническое задание</w:t>
            </w:r>
          </w:p>
          <w:p w14:paraId="51897C9C" w14:textId="77777777" w:rsidR="008337CC" w:rsidRPr="008337CC" w:rsidRDefault="008337CC" w:rsidP="0021050E">
            <w:pPr>
              <w:spacing w:line="276" w:lineRule="auto"/>
              <w:jc w:val="center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«</w:t>
            </w:r>
            <w:proofErr w:type="spellStart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-АгроИнвест »</w:t>
            </w:r>
          </w:p>
          <w:p w14:paraId="227E4251" w14:textId="77777777" w:rsidR="008337CC" w:rsidRDefault="008337CC" w:rsidP="0021050E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</w:p>
          <w:p w14:paraId="305E76DA" w14:textId="77777777" w:rsidR="008337CC" w:rsidRPr="00605EED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330268CE" w14:textId="77777777" w:rsidR="008337CC" w:rsidRPr="00605EED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  <w:r w:rsidRPr="00211998">
              <w:rPr>
                <w:color w:val="000000" w:themeColor="text1"/>
                <w:szCs w:val="28"/>
                <w:lang w:val="ru-RU"/>
              </w:rPr>
              <w:t>Структурное подразделение: ООО «</w:t>
            </w:r>
            <w:proofErr w:type="spellStart"/>
            <w:r w:rsidRPr="00211998">
              <w:rPr>
                <w:color w:val="000000" w:themeColor="text1"/>
                <w:szCs w:val="28"/>
                <w:lang w:val="ru-RU"/>
              </w:rPr>
              <w:t>Милк-АГРОИнвест</w:t>
            </w:r>
            <w:proofErr w:type="spellEnd"/>
            <w:r w:rsidRPr="00211998">
              <w:rPr>
                <w:color w:val="000000" w:themeColor="text1"/>
                <w:szCs w:val="28"/>
                <w:lang w:val="ru-RU"/>
              </w:rPr>
              <w:t>»</w:t>
            </w:r>
          </w:p>
          <w:p w14:paraId="7E7B77FB" w14:textId="77777777" w:rsidR="008337CC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61B6CD85" w14:textId="77777777" w:rsidR="008337CC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3CF7528A" w14:textId="77777777" w:rsidR="008337CC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77264F32" w14:textId="77777777" w:rsidR="008337CC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13B933EB" w14:textId="77777777" w:rsidR="008337CC" w:rsidRPr="00605EED" w:rsidRDefault="008337CC" w:rsidP="0021050E">
            <w:pPr>
              <w:spacing w:line="276" w:lineRule="auto"/>
              <w:jc w:val="center"/>
              <w:rPr>
                <w:color w:val="000000" w:themeColor="text1"/>
                <w:szCs w:val="28"/>
                <w:lang w:val="ru-RU"/>
              </w:rPr>
            </w:pPr>
          </w:p>
          <w:p w14:paraId="43097080" w14:textId="77777777" w:rsidR="008337CC" w:rsidRPr="00605EED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РАЗРАБОТАНО   </w:t>
            </w:r>
          </w:p>
          <w:p w14:paraId="5C2DA5D5" w14:textId="77777777" w:rsidR="008337CC" w:rsidRPr="00605EED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Главный инженер-энергетик</w:t>
            </w:r>
          </w:p>
          <w:p w14:paraId="5E3FB338" w14:textId="77777777" w:rsidR="008337CC" w:rsidRPr="00605EED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"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-АгроИнвест"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______________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А.П. Симонов</w:t>
            </w:r>
          </w:p>
          <w:p w14:paraId="4CCB5930" w14:textId="77777777" w:rsidR="008337CC" w:rsidRPr="007A5357" w:rsidRDefault="008337CC" w:rsidP="0021050E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                                                      </w:t>
            </w: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подпись, дата                       </w:t>
            </w:r>
            <w:r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</w:t>
            </w: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Ф.И.О.</w:t>
            </w:r>
          </w:p>
          <w:p w14:paraId="30296B38" w14:textId="77777777" w:rsidR="008337CC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</w:p>
          <w:p w14:paraId="40030295" w14:textId="77777777" w:rsidR="008337CC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</w:p>
          <w:p w14:paraId="4E86F3A8" w14:textId="77777777" w:rsidR="008337CC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</w:p>
          <w:p w14:paraId="2A3E5298" w14:textId="77777777" w:rsidR="008337CC" w:rsidRPr="007A5357" w:rsidRDefault="008337CC" w:rsidP="0021050E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СОГЛАСОВАНО:</w:t>
            </w:r>
          </w:p>
          <w:p w14:paraId="33F34D89" w14:textId="77777777" w:rsidR="008337CC" w:rsidRPr="00605EED" w:rsidRDefault="008337CC" w:rsidP="0021050E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17F26314" w14:textId="77777777" w:rsidR="008337CC" w:rsidRPr="00605EED" w:rsidRDefault="008337CC" w:rsidP="0021050E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Генеральный директор</w:t>
            </w:r>
          </w:p>
          <w:p w14:paraId="48CFB5BB" w14:textId="77777777" w:rsidR="008337CC" w:rsidRPr="00AB598F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Cs w:val="28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«</w:t>
            </w:r>
            <w:proofErr w:type="spellStart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-АгроИнвест» 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______________ 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Д. Ю. Федько</w:t>
            </w:r>
          </w:p>
          <w:p w14:paraId="637B9B00" w14:textId="77777777" w:rsidR="008337CC" w:rsidRPr="00605EED" w:rsidRDefault="008337CC" w:rsidP="0021050E">
            <w:pP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          должность                            </w:t>
            </w:r>
            <w:r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       </w:t>
            </w: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подпись, дата                      </w:t>
            </w:r>
            <w:r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</w:t>
            </w: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Ф.И.О.</w:t>
            </w:r>
          </w:p>
          <w:p w14:paraId="17F64790" w14:textId="77777777" w:rsidR="008337CC" w:rsidRPr="00605EED" w:rsidRDefault="008337CC" w:rsidP="0021050E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5E241CC1" w14:textId="77777777" w:rsidR="008337CC" w:rsidRPr="00605EED" w:rsidRDefault="008337CC" w:rsidP="0021050E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2A6FEFDB" w14:textId="77777777" w:rsidR="008337CC" w:rsidRPr="00605EED" w:rsidRDefault="008337CC" w:rsidP="0021050E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  <w:p w14:paraId="235172F0" w14:textId="77777777" w:rsidR="008337CC" w:rsidRPr="007A5357" w:rsidRDefault="008337CC" w:rsidP="0021050E">
            <w:pPr>
              <w:spacing w:line="276" w:lineRule="auto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Начальник комплекса</w:t>
            </w:r>
          </w:p>
          <w:p w14:paraId="06B31484" w14:textId="77777777" w:rsidR="008337CC" w:rsidRPr="007A5357" w:rsidRDefault="008337CC" w:rsidP="0021050E">
            <w:pPr>
              <w:spacing w:line="276" w:lineRule="auto"/>
              <w:rPr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ООО «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>Милк</w:t>
            </w:r>
            <w:proofErr w:type="spellEnd"/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-АгроИнвест»          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</w:t>
            </w:r>
            <w:r w:rsidRPr="0CCADD9C"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______________ </w:t>
            </w:r>
            <w:r>
              <w:rPr>
                <w:rFonts w:eastAsia="Times New Roman" w:cs="Times New Roman"/>
                <w:color w:val="000000" w:themeColor="text1"/>
                <w:szCs w:val="28"/>
                <w:lang w:val="ru-RU"/>
              </w:rPr>
              <w:t xml:space="preserve">             В.С. Иванов</w:t>
            </w:r>
          </w:p>
          <w:p w14:paraId="1F26CFB1" w14:textId="77777777" w:rsidR="008337CC" w:rsidRPr="00605EED" w:rsidRDefault="008337CC" w:rsidP="0021050E">
            <w:pPr>
              <w:spacing w:line="276" w:lineRule="auto"/>
              <w:ind w:right="-90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                                                                               подпись, дата                      </w:t>
            </w:r>
            <w:r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           </w:t>
            </w:r>
            <w:r w:rsidRPr="0CCADD9C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 xml:space="preserve"> Ф.И.О.</w:t>
            </w:r>
          </w:p>
          <w:p w14:paraId="2EFA7492" w14:textId="77777777" w:rsidR="008337CC" w:rsidRPr="00605EED" w:rsidRDefault="008337CC" w:rsidP="0021050E">
            <w:pPr>
              <w:spacing w:line="276" w:lineRule="auto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8337CC" w:rsidRPr="00DE2A26" w14:paraId="39126893" w14:textId="77777777" w:rsidTr="0021050E">
        <w:trPr>
          <w:trHeight w:val="315"/>
        </w:trPr>
        <w:tc>
          <w:tcPr>
            <w:tcW w:w="10414" w:type="dxa"/>
            <w:gridSpan w:val="4"/>
            <w:noWrap/>
            <w:vAlign w:val="bottom"/>
            <w:hideMark/>
          </w:tcPr>
          <w:p w14:paraId="72D6E4BF" w14:textId="77777777" w:rsidR="008337CC" w:rsidRDefault="008337CC" w:rsidP="0021050E">
            <w:pPr>
              <w:jc w:val="center"/>
              <w:rPr>
                <w:color w:val="000000" w:themeColor="text1"/>
                <w:szCs w:val="28"/>
                <w:lang w:val="ru-RU"/>
              </w:rPr>
            </w:pPr>
          </w:p>
        </w:tc>
      </w:tr>
    </w:tbl>
    <w:p w14:paraId="1242AC8B" w14:textId="77777777" w:rsidR="008337CC" w:rsidRPr="00605EED" w:rsidRDefault="008337CC" w:rsidP="008337CC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22E1FB82" w14:textId="77777777" w:rsidR="008337CC" w:rsidRDefault="008337CC" w:rsidP="008337CC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27A67BE" w14:textId="77777777" w:rsidR="008337CC" w:rsidRDefault="008337CC" w:rsidP="008337CC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CEAC2BC" w14:textId="77777777" w:rsidR="008337CC" w:rsidRDefault="008337CC" w:rsidP="008337CC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53D708E" w14:textId="260CE16B" w:rsidR="008337CC" w:rsidRPr="0041505F" w:rsidRDefault="008561DC" w:rsidP="008337CC">
      <w:pPr>
        <w:spacing w:line="276" w:lineRule="auto"/>
        <w:ind w:right="-90"/>
        <w:jc w:val="center"/>
        <w:rPr>
          <w:rFonts w:eastAsia="Times New Roman" w:cs="Times New Roman"/>
          <w:color w:val="000000" w:themeColor="text1"/>
          <w:szCs w:val="28"/>
          <w:lang w:val="ru-RU"/>
        </w:rPr>
      </w:pPr>
      <w:r>
        <w:rPr>
          <w:rFonts w:eastAsia="Times New Roman" w:cs="Times New Roman"/>
          <w:color w:val="000000" w:themeColor="text1"/>
          <w:szCs w:val="28"/>
          <w:lang w:val="ru-RU"/>
        </w:rPr>
        <w:t>январь</w:t>
      </w:r>
      <w:r w:rsidR="008337CC" w:rsidRPr="0041505F">
        <w:rPr>
          <w:rFonts w:eastAsia="Times New Roman" w:cs="Times New Roman"/>
          <w:color w:val="000000" w:themeColor="text1"/>
          <w:szCs w:val="28"/>
          <w:lang w:val="ru-RU"/>
        </w:rPr>
        <w:t xml:space="preserve"> 202</w:t>
      </w:r>
      <w:r>
        <w:rPr>
          <w:rFonts w:eastAsia="Times New Roman" w:cs="Times New Roman"/>
          <w:color w:val="000000" w:themeColor="text1"/>
          <w:szCs w:val="28"/>
          <w:lang w:val="ru-RU"/>
        </w:rPr>
        <w:t>3</w:t>
      </w:r>
      <w:r w:rsidR="008337CC" w:rsidRPr="0041505F">
        <w:rPr>
          <w:rFonts w:eastAsia="Times New Roman" w:cs="Times New Roman"/>
          <w:color w:val="000000" w:themeColor="text1"/>
          <w:szCs w:val="28"/>
          <w:lang w:val="ru-RU"/>
        </w:rPr>
        <w:t>г</w:t>
      </w:r>
    </w:p>
    <w:p w14:paraId="7113AB49" w14:textId="77777777" w:rsidR="008337CC" w:rsidRPr="0041505F" w:rsidRDefault="008337CC" w:rsidP="008337CC">
      <w:pPr>
        <w:spacing w:line="276" w:lineRule="auto"/>
        <w:ind w:right="-90"/>
        <w:jc w:val="center"/>
        <w:rPr>
          <w:rFonts w:eastAsia="Times New Roman" w:cs="Times New Roman"/>
          <w:color w:val="000000" w:themeColor="text1"/>
          <w:szCs w:val="28"/>
          <w:lang w:val="ru-RU"/>
        </w:rPr>
      </w:pPr>
    </w:p>
    <w:p w14:paraId="1A9EF619" w14:textId="77777777" w:rsidR="008337CC" w:rsidRPr="00605EED" w:rsidRDefault="008337CC" w:rsidP="008337CC">
      <w:pPr>
        <w:widowControl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10310" w:type="dxa"/>
        <w:tblInd w:w="108" w:type="dxa"/>
        <w:tblLook w:val="04A0" w:firstRow="1" w:lastRow="0" w:firstColumn="1" w:lastColumn="0" w:noHBand="0" w:noVBand="1"/>
      </w:tblPr>
      <w:tblGrid>
        <w:gridCol w:w="4713"/>
        <w:gridCol w:w="5597"/>
      </w:tblGrid>
      <w:tr w:rsidR="008337CC" w:rsidRPr="00605EED" w:rsidDel="00267B39" w14:paraId="475F56C2" w14:textId="77777777" w:rsidTr="0021050E">
        <w:trPr>
          <w:trHeight w:val="315"/>
        </w:trPr>
        <w:tc>
          <w:tcPr>
            <w:tcW w:w="1845" w:type="dxa"/>
            <w:vAlign w:val="bottom"/>
          </w:tcPr>
          <w:p w14:paraId="5F53EA2F" w14:textId="77777777" w:rsidR="008337CC" w:rsidDel="0042607C" w:rsidRDefault="008337CC" w:rsidP="0021050E">
            <w:pPr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191" w:type="dxa"/>
            <w:vAlign w:val="bottom"/>
          </w:tcPr>
          <w:p w14:paraId="314BE365" w14:textId="77777777" w:rsidR="008337CC" w:rsidRPr="00605EED" w:rsidDel="00267B39" w:rsidRDefault="008337CC" w:rsidP="0021050E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902BBE" w14:textId="77777777" w:rsidR="008337CC" w:rsidRPr="00605EED" w:rsidRDefault="008337CC" w:rsidP="008337CC">
      <w:pPr>
        <w:rPr>
          <w:rFonts w:eastAsia="Calibri" w:cs="Times New Roman"/>
          <w:color w:val="auto"/>
          <w:sz w:val="24"/>
          <w:szCs w:val="22"/>
          <w:lang w:val="ru-RU"/>
        </w:rPr>
      </w:pPr>
    </w:p>
    <w:tbl>
      <w:tblPr>
        <w:tblW w:w="104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8337CC" w:rsidRPr="007B347E" w14:paraId="73EC6F64" w14:textId="77777777" w:rsidTr="0021050E">
        <w:trPr>
          <w:trHeight w:val="323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8EAD4A4" w14:textId="77777777" w:rsidR="008337CC" w:rsidRPr="00605EED" w:rsidRDefault="008337CC" w:rsidP="0021050E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Общие сведения о предмете закупки</w:t>
            </w:r>
          </w:p>
        </w:tc>
      </w:tr>
      <w:tr w:rsidR="008337CC" w:rsidRPr="007B347E" w14:paraId="788E7515" w14:textId="77777777" w:rsidTr="0021050E">
        <w:trPr>
          <w:trHeight w:val="796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07A4B09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7E9D6DE9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337CC" w:rsidRPr="007B347E" w14:paraId="29BDB330" w14:textId="77777777" w:rsidTr="0021050E">
        <w:trPr>
          <w:trHeight w:val="283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722" w14:textId="77777777" w:rsidR="008337CC" w:rsidRPr="00605EED" w:rsidRDefault="008337CC" w:rsidP="0021050E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1"/>
              <w:gridCol w:w="5103"/>
            </w:tblGrid>
            <w:tr w:rsidR="008337CC" w:rsidRPr="007B347E" w14:paraId="7E73909C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E8A9B" w14:textId="77777777" w:rsidR="008337CC" w:rsidRPr="00605EED" w:rsidRDefault="008337CC" w:rsidP="0021050E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8528C" w14:textId="77777777" w:rsidR="008337CC" w:rsidRPr="00605EED" w:rsidRDefault="008337CC" w:rsidP="0021050E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Общество с ограниченной ответственностью «</w:t>
                  </w:r>
                  <w:proofErr w:type="spellStart"/>
                  <w:r w:rsidRPr="00E35539">
                    <w:rPr>
                      <w:b/>
                      <w:bCs/>
                      <w:sz w:val="20"/>
                      <w:lang w:val="ru-RU"/>
                    </w:rPr>
                    <w:t>Милк</w:t>
                  </w:r>
                  <w:proofErr w:type="spellEnd"/>
                  <w:r w:rsidRPr="00E35539">
                    <w:rPr>
                      <w:b/>
                      <w:bCs/>
                      <w:sz w:val="20"/>
                      <w:lang w:val="ru-RU"/>
                    </w:rPr>
                    <w:t>-АгроИнвест</w:t>
                  </w:r>
                  <w: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8337CC" w:rsidRPr="00605EED" w14:paraId="67EF06B7" w14:textId="77777777" w:rsidTr="0021050E">
              <w:trPr>
                <w:trHeight w:val="24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FA303" w14:textId="77777777" w:rsidR="008337CC" w:rsidRPr="00605EED" w:rsidRDefault="008337CC" w:rsidP="0021050E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D8B1F" w14:textId="77777777" w:rsidR="008337CC" w:rsidRPr="00605EED" w:rsidRDefault="008337CC" w:rsidP="0021050E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ООО «</w:t>
                  </w:r>
                  <w:proofErr w:type="spellStart"/>
                  <w:r w:rsidRPr="23A6809A">
                    <w:rPr>
                      <w:b/>
                      <w:bCs/>
                      <w:sz w:val="20"/>
                    </w:rPr>
                    <w:t>Милк</w:t>
                  </w:r>
                  <w:proofErr w:type="spellEnd"/>
                  <w:r w:rsidRPr="23A6809A">
                    <w:rPr>
                      <w:b/>
                      <w:bCs/>
                      <w:sz w:val="20"/>
                    </w:rPr>
                    <w:t>-АгроИнвест</w:t>
                  </w:r>
                  <w: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8337CC" w:rsidRPr="00605EED" w14:paraId="3712896D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18E3E" w14:textId="77777777" w:rsidR="008337CC" w:rsidRPr="00605EED" w:rsidRDefault="008337CC" w:rsidP="0021050E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AD2B8" w14:textId="77777777" w:rsidR="008337CC" w:rsidRPr="00605EED" w:rsidRDefault="008337CC" w:rsidP="0021050E">
                  <w:pPr>
                    <w:shd w:val="clear" w:color="auto" w:fill="FFFFFF"/>
                    <w:ind w:hanging="14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E35539">
                    <w:rPr>
                      <w:sz w:val="20"/>
                      <w:lang w:val="ru-RU"/>
                    </w:rPr>
                    <w:t xml:space="preserve">399824, Липецкая обл.,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м.р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-н Данковский,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с.п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-Ивановский сельсовет, с.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-Ивановское, ул. </w:t>
                  </w:r>
                  <w:proofErr w:type="spellStart"/>
                  <w:r w:rsidRPr="23A6809A">
                    <w:rPr>
                      <w:sz w:val="20"/>
                    </w:rPr>
                    <w:t>Куйбышева</w:t>
                  </w:r>
                  <w:proofErr w:type="spellEnd"/>
                  <w:r w:rsidRPr="23A6809A">
                    <w:rPr>
                      <w:sz w:val="20"/>
                    </w:rPr>
                    <w:t xml:space="preserve">, д. 2, </w:t>
                  </w:r>
                  <w:proofErr w:type="spellStart"/>
                  <w:r w:rsidRPr="23A6809A">
                    <w:rPr>
                      <w:sz w:val="20"/>
                    </w:rPr>
                    <w:t>помещ</w:t>
                  </w:r>
                  <w:proofErr w:type="spellEnd"/>
                  <w:r w:rsidRPr="23A6809A">
                    <w:rPr>
                      <w:sz w:val="20"/>
                    </w:rPr>
                    <w:t>. 6</w:t>
                  </w:r>
                </w:p>
              </w:tc>
            </w:tr>
            <w:tr w:rsidR="008337CC" w:rsidRPr="00605EED" w14:paraId="09E5C2D9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EF75C" w14:textId="77777777" w:rsidR="008337CC" w:rsidRPr="00605EED" w:rsidRDefault="008337CC" w:rsidP="0021050E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47051" w14:textId="77777777" w:rsidR="008337CC" w:rsidRPr="004554FF" w:rsidRDefault="008337CC" w:rsidP="0021050E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E35539">
                    <w:rPr>
                      <w:sz w:val="20"/>
                      <w:lang w:val="ru-RU"/>
                    </w:rPr>
                    <w:t xml:space="preserve">399824, Липецкая обл.,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м.р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-н Данковский,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с.п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-Ивановский сельсовет, с. </w:t>
                  </w:r>
                  <w:proofErr w:type="spellStart"/>
                  <w:r w:rsidRPr="00E35539">
                    <w:rPr>
                      <w:sz w:val="20"/>
                      <w:lang w:val="ru-RU"/>
                    </w:rPr>
                    <w:t>Спешнево</w:t>
                  </w:r>
                  <w:proofErr w:type="spellEnd"/>
                  <w:r w:rsidRPr="00E35539">
                    <w:rPr>
                      <w:sz w:val="20"/>
                      <w:lang w:val="ru-RU"/>
                    </w:rPr>
                    <w:t xml:space="preserve">-Ивановское, ул. </w:t>
                  </w:r>
                  <w:proofErr w:type="spellStart"/>
                  <w:r w:rsidRPr="23A6809A">
                    <w:rPr>
                      <w:sz w:val="20"/>
                    </w:rPr>
                    <w:t>Куйбышева</w:t>
                  </w:r>
                  <w:proofErr w:type="spellEnd"/>
                  <w:r w:rsidRPr="23A6809A">
                    <w:rPr>
                      <w:sz w:val="20"/>
                    </w:rPr>
                    <w:t xml:space="preserve">, д. 2, </w:t>
                  </w:r>
                  <w:proofErr w:type="spellStart"/>
                  <w:r w:rsidRPr="23A6809A">
                    <w:rPr>
                      <w:sz w:val="20"/>
                    </w:rPr>
                    <w:t>помещ</w:t>
                  </w:r>
                  <w:proofErr w:type="spellEnd"/>
                  <w:r w:rsidRPr="23A6809A">
                    <w:rPr>
                      <w:sz w:val="20"/>
                    </w:rPr>
                    <w:t>. 6</w:t>
                  </w:r>
                </w:p>
              </w:tc>
            </w:tr>
            <w:tr w:rsidR="008337CC" w:rsidRPr="00605EED" w14:paraId="1A336238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B634" w14:textId="77777777" w:rsidR="008337CC" w:rsidRPr="00605EED" w:rsidRDefault="008337CC" w:rsidP="0021050E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CBA5" w14:textId="77777777" w:rsidR="008337CC" w:rsidRPr="00605EED" w:rsidRDefault="008337CC" w:rsidP="0021050E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23A6809A">
                    <w:rPr>
                      <w:sz w:val="20"/>
                      <w:shd w:val="clear" w:color="auto" w:fill="FFFFFF"/>
                    </w:rPr>
                    <w:t>1214800013889</w:t>
                  </w:r>
                </w:p>
              </w:tc>
            </w:tr>
            <w:tr w:rsidR="008337CC" w:rsidRPr="00605EED" w14:paraId="341AA347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BB9B0" w14:textId="77777777" w:rsidR="008337CC" w:rsidRPr="00605EED" w:rsidRDefault="008337CC" w:rsidP="0021050E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F6962" w14:textId="77777777" w:rsidR="008337CC" w:rsidRPr="00605EED" w:rsidRDefault="008337CC" w:rsidP="0021050E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23A6809A">
                    <w:rPr>
                      <w:sz w:val="20"/>
                      <w:shd w:val="clear" w:color="auto" w:fill="FFFFFF"/>
                    </w:rPr>
                    <w:t>4803010420</w:t>
                  </w:r>
                </w:p>
              </w:tc>
            </w:tr>
            <w:tr w:rsidR="008337CC" w:rsidRPr="00605EED" w14:paraId="5AB33D98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6A9FD" w14:textId="77777777" w:rsidR="008337CC" w:rsidRPr="00605EED" w:rsidRDefault="008337CC" w:rsidP="0021050E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44EE4" w14:textId="77777777" w:rsidR="008337CC" w:rsidRPr="00605EED" w:rsidRDefault="008337CC" w:rsidP="0021050E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23A6809A">
                    <w:rPr>
                      <w:sz w:val="20"/>
                    </w:rPr>
                    <w:t>480301001</w:t>
                  </w:r>
                </w:p>
              </w:tc>
            </w:tr>
            <w:tr w:rsidR="008337CC" w:rsidRPr="00605EED" w14:paraId="06A89609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ED5F9" w14:textId="77777777" w:rsidR="008337CC" w:rsidRPr="00605EED" w:rsidRDefault="008337CC" w:rsidP="0021050E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7E8F" w14:textId="77777777" w:rsidR="008337CC" w:rsidRPr="002232AC" w:rsidRDefault="008337CC" w:rsidP="0021050E">
                  <w:pPr>
                    <w:pStyle w:val="a8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р/с: </w:t>
                  </w:r>
                  <w:r w:rsidRPr="002232AC">
                    <w:rPr>
                      <w:color w:val="000000"/>
                      <w:sz w:val="20"/>
                      <w:szCs w:val="20"/>
                    </w:rPr>
                    <w:t>40702810513000047872</w:t>
                  </w:r>
                </w:p>
                <w:p w14:paraId="79CB0A43" w14:textId="77777777" w:rsidR="008337CC" w:rsidRPr="002232AC" w:rsidRDefault="008337CC" w:rsidP="0021050E">
                  <w:pPr>
                    <w:pStyle w:val="a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color w:val="000000"/>
                      <w:sz w:val="20"/>
                      <w:szCs w:val="20"/>
                    </w:rPr>
                    <w:t xml:space="preserve">ЦЕНТРАЛЬНО-ЧЕРНОЗЕМНЫЙ БАНК ПАО СБЕРБАНК </w:t>
                  </w:r>
                </w:p>
                <w:p w14:paraId="7D55B621" w14:textId="77777777" w:rsidR="008337CC" w:rsidRPr="002232AC" w:rsidRDefault="008337CC" w:rsidP="0021050E">
                  <w:pPr>
                    <w:pStyle w:val="a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к/с </w:t>
                  </w:r>
                  <w:r w:rsidRPr="002232AC">
                    <w:rPr>
                      <w:color w:val="000000"/>
                      <w:sz w:val="20"/>
                      <w:szCs w:val="20"/>
                    </w:rPr>
                    <w:t>30101810600000000681</w:t>
                  </w:r>
                </w:p>
                <w:p w14:paraId="5C3911B0" w14:textId="77777777" w:rsidR="008337CC" w:rsidRPr="002232AC" w:rsidRDefault="008337CC" w:rsidP="0021050E">
                  <w:pPr>
                    <w:pStyle w:val="a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232A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БИК </w:t>
                  </w:r>
                  <w:r w:rsidRPr="002232AC">
                    <w:rPr>
                      <w:color w:val="000000"/>
                      <w:sz w:val="20"/>
                      <w:szCs w:val="20"/>
                    </w:rPr>
                    <w:t>042007681</w:t>
                  </w:r>
                </w:p>
                <w:p w14:paraId="146876F7" w14:textId="77777777" w:rsidR="008337CC" w:rsidRPr="00605EED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337CC" w:rsidRPr="00605EED" w14:paraId="46FFFFDE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08282" w14:textId="77777777" w:rsidR="008337CC" w:rsidRPr="00605EED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B6149" w14:textId="77777777" w:rsidR="008337CC" w:rsidRPr="00B6553A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337CC" w:rsidRPr="00605EED" w14:paraId="55F1EC1F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7B306" w14:textId="77777777" w:rsidR="008337CC" w:rsidRPr="00605EED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E30B" w14:textId="77777777" w:rsidR="008337CC" w:rsidRPr="00A97F0B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337CC" w:rsidRPr="00605EED" w14:paraId="2F7F70C9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C33E8" w14:textId="77777777" w:rsidR="008337CC" w:rsidRPr="00605EED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3289" w14:textId="77777777" w:rsidR="008337CC" w:rsidRPr="00A97F0B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337CC" w:rsidRPr="007B347E" w14:paraId="5533DEF5" w14:textId="77777777" w:rsidTr="0021050E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69FA4" w14:textId="77777777" w:rsidR="008337CC" w:rsidRPr="00605EED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 xml:space="preserve">Контактное лицо (должность, ФИО, телефон, </w:t>
                  </w:r>
                  <w:proofErr w:type="spellStart"/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эл.почта</w:t>
                  </w:r>
                  <w:proofErr w:type="spellEnd"/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74180" w14:textId="77777777" w:rsidR="008337CC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Главный инженер – энергетик Симонов Александр Петров 89054195900 (</w:t>
                  </w:r>
                  <w:hyperlink r:id="rId7" w:history="1">
                    <w:r w:rsidRPr="00D421F1">
                      <w:rPr>
                        <w:rStyle w:val="a7"/>
                        <w:rFonts w:eastAsia="Calibri"/>
                        <w:sz w:val="24"/>
                        <w:szCs w:val="24"/>
                        <w:lang w:val="ru-RU"/>
                      </w:rPr>
                      <w:t>a.simonov@agroinvest.com</w:t>
                    </w:r>
                  </w:hyperlink>
                  <w: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 xml:space="preserve"> )</w:t>
                  </w:r>
                </w:p>
                <w:p w14:paraId="2D98AD0F" w14:textId="77777777" w:rsidR="008337CC" w:rsidRPr="006654E3" w:rsidRDefault="008337CC" w:rsidP="0021050E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 xml:space="preserve">Начальник комплекса Иванов Василий Сергеевич 89284130480 </w:t>
                  </w:r>
                  <w:r w:rsidRPr="00E42176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(</w:t>
                  </w:r>
                  <w:r w:rsidRPr="00213822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v</w:t>
                  </w:r>
                  <w:r w:rsidRPr="00EE5A04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.</w:t>
                  </w:r>
                  <w:r w:rsidRPr="00213822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ivanov</w:t>
                  </w:r>
                  <w:r w:rsidRPr="00EE5A04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1@</w:t>
                  </w:r>
                  <w:r w:rsidRPr="00213822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agroinvest</w:t>
                  </w:r>
                  <w:r w:rsidRPr="00EE5A04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.</w:t>
                  </w:r>
                  <w:r w:rsidRPr="00213822">
                    <w:rPr>
                      <w:rStyle w:val="a7"/>
                      <w:rFonts w:eastAsia="Calibri"/>
                      <w:sz w:val="24"/>
                      <w:szCs w:val="24"/>
                      <w:lang w:val="ru-RU"/>
                    </w:rPr>
                    <w:t>com</w:t>
                  </w:r>
                  <w:r>
                    <w:rPr>
                      <w:lang w:val="ru-RU"/>
                    </w:rPr>
                    <w:t xml:space="preserve">) </w:t>
                  </w:r>
                </w:p>
              </w:tc>
            </w:tr>
          </w:tbl>
          <w:p w14:paraId="41FD33EC" w14:textId="77777777" w:rsidR="008337CC" w:rsidRPr="000C737A" w:rsidRDefault="008337CC" w:rsidP="0021050E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337CC" w:rsidRPr="007B347E" w14:paraId="26720735" w14:textId="77777777" w:rsidTr="0021050E">
        <w:trPr>
          <w:trHeight w:val="942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8FF2BB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Общие сведения о предмете закупки</w:t>
            </w:r>
          </w:p>
          <w:p w14:paraId="465FD5E9" w14:textId="77777777" w:rsidR="008337CC" w:rsidRPr="00605EED" w:rsidRDefault="008337CC" w:rsidP="0021050E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659E2DB9" w14:textId="77777777" w:rsidR="008337CC" w:rsidRPr="00605EED" w:rsidRDefault="008337CC" w:rsidP="0021050E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004D097F" w14:textId="77777777" w:rsidR="008337CC" w:rsidRPr="00605EED" w:rsidRDefault="008337CC" w:rsidP="0021050E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337CC" w:rsidRPr="007B347E" w14:paraId="1E2265E9" w14:textId="77777777" w:rsidTr="0021050E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017" w14:textId="53759B57" w:rsidR="008561DC" w:rsidRPr="008561DC" w:rsidRDefault="008561DC" w:rsidP="008561DC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561D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Пушка дизельная тепловая </w:t>
            </w:r>
            <w:proofErr w:type="spellStart"/>
            <w:r w:rsidRPr="008561D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Ballu</w:t>
            </w:r>
            <w:proofErr w:type="spellEnd"/>
            <w:r w:rsidRPr="008561DC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BHDN-50</w:t>
            </w:r>
          </w:p>
          <w:p w14:paraId="7F8B4D53" w14:textId="7551E765" w:rsidR="008337CC" w:rsidRPr="00605EED" w:rsidRDefault="008337CC" w:rsidP="0021050E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28AC5FC2" w14:textId="77777777" w:rsidR="008337CC" w:rsidRPr="00605EED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77E24D38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FB962F1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46158C4B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43B403CB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6C0267D2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3355E4C4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01360840" w14:textId="296D463E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602C8D1E" w14:textId="77777777" w:rsidR="008561DC" w:rsidRDefault="008561D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10E738F3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11807083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07691358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6517C636" w14:textId="77777777" w:rsidR="008337CC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p w14:paraId="5C1BE064" w14:textId="77777777" w:rsidR="008337CC" w:rsidRPr="00605EED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9"/>
      </w:tblGrid>
      <w:tr w:rsidR="008337CC" w:rsidRPr="00605EED" w14:paraId="1F6A1C70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47C4B86" w14:textId="77777777" w:rsidR="008337CC" w:rsidRPr="00605EED" w:rsidRDefault="008337CC" w:rsidP="0021050E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Техническая документация</w:t>
            </w:r>
          </w:p>
        </w:tc>
      </w:tr>
      <w:tr w:rsidR="008337CC" w:rsidRPr="007B347E" w14:paraId="02342B27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4D1B679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3C522C3B" w14:textId="77777777" w:rsidR="008337CC" w:rsidRPr="00605EED" w:rsidRDefault="008337CC" w:rsidP="0021050E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377798F8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337CC" w:rsidRPr="000A7CD3" w14:paraId="15CF144C" w14:textId="77777777" w:rsidTr="0021050E">
        <w:trPr>
          <w:trHeight w:val="2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2E78" w14:textId="77777777" w:rsidR="008337CC" w:rsidRPr="00895EC8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95EC8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>Основные параметры, размеры и количество</w:t>
            </w:r>
          </w:p>
          <w:tbl>
            <w:tblPr>
              <w:tblW w:w="1024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039"/>
              <w:gridCol w:w="1100"/>
              <w:gridCol w:w="3847"/>
              <w:gridCol w:w="1950"/>
              <w:gridCol w:w="761"/>
            </w:tblGrid>
            <w:tr w:rsidR="008337CC" w:rsidRPr="00895EC8" w14:paraId="1BAB03F6" w14:textId="77777777" w:rsidTr="008561DC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B6706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№</w:t>
                  </w:r>
                </w:p>
                <w:p w14:paraId="673C08D9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C6B77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142366A9" w14:textId="1E042C8D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4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* </w:t>
                  </w:r>
                  <w:r w:rsidRPr="00895EC8">
                    <w:rPr>
                      <w:rFonts w:eastAsia="Times New Roman" w:cs="Times New Roman"/>
                      <w:bCs/>
                      <w:color w:val="auto"/>
                      <w:sz w:val="20"/>
                      <w:szCs w:val="24"/>
                      <w:lang w:val="ru-RU"/>
                    </w:rPr>
                    <w:t>Наименование работ/услуг (конкретной цели выполн</w:t>
                  </w:r>
                  <w:r w:rsidR="008561DC">
                    <w:rPr>
                      <w:rFonts w:eastAsia="Times New Roman" w:cs="Times New Roman"/>
                      <w:bCs/>
                      <w:color w:val="auto"/>
                      <w:sz w:val="20"/>
                      <w:szCs w:val="24"/>
                      <w:lang w:val="ru-RU"/>
                    </w:rPr>
                    <w:t>е</w:t>
                  </w:r>
                </w:p>
                <w:p w14:paraId="2D261E3D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proofErr w:type="spellStart"/>
                  <w:r w:rsidRPr="00895EC8">
                    <w:rPr>
                      <w:rFonts w:eastAsia="Times New Roman" w:cs="Times New Roman"/>
                      <w:bCs/>
                      <w:color w:val="auto"/>
                      <w:sz w:val="20"/>
                      <w:szCs w:val="24"/>
                      <w:lang w:val="ru-RU"/>
                    </w:rPr>
                    <w:t>ния</w:t>
                  </w:r>
                  <w:proofErr w:type="spellEnd"/>
                  <w:r w:rsidRPr="00895EC8">
                    <w:rPr>
                      <w:rFonts w:eastAsia="Times New Roman" w:cs="Times New Roman"/>
                      <w:bCs/>
                      <w:color w:val="auto"/>
                      <w:sz w:val="20"/>
                      <w:szCs w:val="24"/>
                      <w:lang w:val="ru-RU"/>
                    </w:rPr>
                    <w:t xml:space="preserve"> работ)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2D085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6474C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Технические параметры ШхВхГ, марка, и д.т.)</w:t>
                  </w:r>
                </w:p>
                <w:p w14:paraId="3C4A054D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* 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A3AE1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4971B6C2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* Количественный показатель объема  работ/услуг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D1568" w14:textId="77777777" w:rsidR="008337CC" w:rsidRPr="00895EC8" w:rsidRDefault="008337CC" w:rsidP="0021050E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95E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008337CC" w:rsidRPr="00895EC8" w14:paraId="54B9A693" w14:textId="77777777" w:rsidTr="008561DC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3AB4B" w14:textId="77777777" w:rsidR="008337CC" w:rsidRPr="00895EC8" w:rsidRDefault="008337CC" w:rsidP="0021050E">
                  <w:pPr>
                    <w:rPr>
                      <w:bCs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053CA" w14:textId="77777777" w:rsidR="008561DC" w:rsidRPr="008561DC" w:rsidRDefault="008561DC" w:rsidP="008561DC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Пушка дизельная тепловая </w:t>
                  </w:r>
                  <w:proofErr w:type="spellStart"/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Ballu</w:t>
                  </w:r>
                  <w:proofErr w:type="spellEnd"/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BHDN-50</w:t>
                  </w:r>
                </w:p>
                <w:p w14:paraId="72F6BD7C" w14:textId="212DD13A" w:rsidR="008337CC" w:rsidRPr="00895EC8" w:rsidRDefault="008337CC" w:rsidP="0021050E">
                  <w:pPr>
                    <w:spacing w:line="276" w:lineRule="auto"/>
                    <w:jc w:val="both"/>
                    <w:rPr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0272B" w14:textId="77777777" w:rsidR="008337CC" w:rsidRPr="00895EC8" w:rsidRDefault="008337CC" w:rsidP="0021050E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CDAFD" w14:textId="77777777" w:rsidR="005C3F2A" w:rsidRDefault="008561DC" w:rsidP="008561DC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Тепловая мощность, кВт -50</w:t>
                  </w:r>
                </w:p>
                <w:p w14:paraId="3839FF3A" w14:textId="77777777" w:rsidR="008561DC" w:rsidRDefault="008561DC" w:rsidP="008561DC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Объём обогрева, м³ -1500</w:t>
                  </w:r>
                </w:p>
                <w:p w14:paraId="3EF2AE7B" w14:textId="77777777" w:rsidR="008561DC" w:rsidRDefault="008561DC" w:rsidP="008561DC">
                  <w:pPr>
                    <w:shd w:val="clear" w:color="auto" w:fill="FFFFFF"/>
                    <w:spacing w:line="240" w:lineRule="atLeast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Производительность, м³/ч</w:t>
                  </w:r>
                  <w:r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2000</w:t>
                  </w:r>
                </w:p>
                <w:p w14:paraId="1763C04C" w14:textId="4651C724" w:rsidR="008561DC" w:rsidRPr="008561DC" w:rsidRDefault="008561DC" w:rsidP="008561DC">
                  <w:pPr>
                    <w:textAlignment w:val="baseline"/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8561DC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Вид топлива</w:t>
                  </w:r>
                  <w:r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="002927C8">
                    <w:rPr>
                      <w:rFonts w:eastAsia="Times New Roman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Солярка-дизель</w:t>
                  </w:r>
                </w:p>
                <w:p w14:paraId="6EA6D3DD" w14:textId="3E9A426A" w:rsidR="008561DC" w:rsidRPr="008561DC" w:rsidRDefault="008561DC" w:rsidP="008561DC">
                  <w:pPr>
                    <w:shd w:val="clear" w:color="auto" w:fill="FFFFFF"/>
                    <w:spacing w:line="240" w:lineRule="atLeast"/>
                    <w:rPr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1ABDB3" w14:textId="0E7A24A1" w:rsidR="008337CC" w:rsidRPr="00895EC8" w:rsidRDefault="007B347E" w:rsidP="0021050E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C2B9B" w14:textId="77777777" w:rsidR="008337CC" w:rsidRPr="00895EC8" w:rsidRDefault="008337CC" w:rsidP="0021050E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895EC8">
                    <w:rPr>
                      <w:bCs/>
                      <w:sz w:val="24"/>
                      <w:szCs w:val="24"/>
                      <w:lang w:val="ru-RU"/>
                    </w:rPr>
                    <w:t>шт.</w:t>
                  </w:r>
                </w:p>
                <w:p w14:paraId="0451C044" w14:textId="77777777" w:rsidR="008337CC" w:rsidRPr="00895EC8" w:rsidRDefault="008337CC" w:rsidP="0021050E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</w:p>
                <w:p w14:paraId="4F4993D8" w14:textId="77777777" w:rsidR="008337CC" w:rsidRPr="00895EC8" w:rsidRDefault="008337CC" w:rsidP="0021050E">
                  <w:pPr>
                    <w:rPr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1383ED3" w14:textId="77777777" w:rsidR="008337CC" w:rsidRPr="00895EC8" w:rsidRDefault="008337CC" w:rsidP="0021050E">
            <w:pPr>
              <w:rPr>
                <w:rFonts w:eastAsia="Calibri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8337CC" w:rsidRPr="007B347E" w14:paraId="4030A2D9" w14:textId="77777777" w:rsidTr="0021050E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3F6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</w:p>
          <w:p w14:paraId="774F81BA" w14:textId="77777777" w:rsidR="008337CC" w:rsidRPr="0002008D" w:rsidRDefault="008337CC" w:rsidP="0021050E">
            <w:pPr>
              <w:ind w:left="3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В соответствии с установленными требованиями и нормами завода изготовителя.</w:t>
            </w:r>
          </w:p>
        </w:tc>
      </w:tr>
      <w:tr w:rsidR="008337CC" w:rsidRPr="00605EED" w14:paraId="02EF9F34" w14:textId="77777777" w:rsidTr="0021050E">
        <w:trPr>
          <w:trHeight w:val="79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66D" w14:textId="77777777" w:rsidR="008337CC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6208B409" w14:textId="77777777" w:rsidR="008337CC" w:rsidRPr="001449E1" w:rsidRDefault="008337CC" w:rsidP="0021050E">
            <w:pP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Поставщик обязан провести предпродажную подготовку и ввод в эксплуатацию поставляемого оборудования на территории покупателя, с привлечением собственного персонала и за свой счет. Период проведения работ, дополнительно согласовывается с Покупателем.</w:t>
            </w:r>
          </w:p>
        </w:tc>
      </w:tr>
      <w:tr w:rsidR="008337CC" w:rsidRPr="007B347E" w14:paraId="532EFC0C" w14:textId="77777777" w:rsidTr="0021050E">
        <w:trPr>
          <w:trHeight w:val="53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0E1" w14:textId="77777777" w:rsidR="008337CC" w:rsidRPr="00D21D8F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D21D8F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Требования к материалам и комплектующим оборудования </w:t>
            </w:r>
          </w:p>
          <w:p w14:paraId="561A8A0D" w14:textId="77777777" w:rsidR="008337CC" w:rsidRPr="00D21D8F" w:rsidRDefault="008337CC" w:rsidP="0021050E">
            <w:pPr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В соответствии с документацией завода - изготовителя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337CC" w:rsidRPr="007B347E" w14:paraId="52D0C8E9" w14:textId="77777777" w:rsidTr="0021050E">
        <w:trPr>
          <w:trHeight w:val="50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44B5" w14:textId="77777777" w:rsidR="008337CC" w:rsidRPr="00137E80" w:rsidRDefault="008337CC" w:rsidP="0021050E">
            <w:pPr>
              <w:numPr>
                <w:ilvl w:val="2"/>
                <w:numId w:val="1"/>
              </w:numPr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  <w:r w:rsidRPr="0095235B">
              <w:rPr>
                <w:lang w:val="ru-RU"/>
              </w:rPr>
              <w:t xml:space="preserve"> </w:t>
            </w:r>
          </w:p>
          <w:p w14:paraId="22C0A042" w14:textId="71F8FB53" w:rsidR="008337CC" w:rsidRPr="007C66C7" w:rsidRDefault="00C846C9" w:rsidP="0021050E">
            <w:pPr>
              <w:jc w:val="center"/>
              <w:rPr>
                <w:rFonts w:eastAsia="Times New Roman" w:cs="Times New Roman"/>
                <w:b/>
                <w:color w:val="FF0000"/>
                <w:sz w:val="22"/>
                <w:szCs w:val="22"/>
                <w:lang w:val="ru-RU"/>
              </w:rPr>
            </w:pPr>
            <w:r w:rsidRPr="00C846C9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Защита от перегрузки по току</w:t>
            </w:r>
          </w:p>
        </w:tc>
      </w:tr>
      <w:tr w:rsidR="008337CC" w:rsidRPr="007B347E" w14:paraId="28A4701D" w14:textId="77777777" w:rsidTr="0021050E">
        <w:trPr>
          <w:trHeight w:val="25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0AE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74C79B79" w14:textId="71731958" w:rsidR="00C65F92" w:rsidRPr="00C65F92" w:rsidRDefault="008337CC" w:rsidP="00C65F92">
            <w:pPr>
              <w:ind w:left="1141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                      </w:t>
            </w:r>
            <w:r w:rsidR="00C65F92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Манометр на ресивере, манометр </w:t>
            </w:r>
            <w:r w:rsidR="00C846C9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на линии за регулятором давления</w:t>
            </w:r>
          </w:p>
        </w:tc>
      </w:tr>
      <w:tr w:rsidR="008337CC" w:rsidRPr="007B347E" w14:paraId="249A02A4" w14:textId="77777777" w:rsidTr="0021050E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574" w14:textId="77777777" w:rsidR="008337CC" w:rsidRPr="00D21D8F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D21D8F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593CC077" w14:textId="77777777" w:rsidR="008337CC" w:rsidRDefault="008337CC" w:rsidP="0021050E">
            <w:pPr>
              <w:spacing w:line="276" w:lineRule="auto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- руководство по эксплуатации и каталог З/Ч на русском языке;</w:t>
            </w:r>
          </w:p>
          <w:p w14:paraId="303CB935" w14:textId="06C75DFC" w:rsidR="008337CC" w:rsidRPr="003740F3" w:rsidRDefault="008337CC" w:rsidP="0021050E">
            <w:pPr>
              <w:spacing w:line="276" w:lineRule="auto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- ЗИП, в соответствии с технической документацией завода изготовителя.</w:t>
            </w:r>
          </w:p>
        </w:tc>
      </w:tr>
      <w:tr w:rsidR="008337CC" w:rsidRPr="00605EED" w14:paraId="012CA2F8" w14:textId="77777777" w:rsidTr="0021050E">
        <w:trPr>
          <w:trHeight w:val="4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5FE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741267FF" w14:textId="77777777" w:rsidR="008337CC" w:rsidRPr="0002008D" w:rsidRDefault="008337CC" w:rsidP="0021050E">
            <w:pPr>
              <w:ind w:left="1141"/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                                                                    </w:t>
            </w: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О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тсутствуют</w:t>
            </w:r>
          </w:p>
        </w:tc>
      </w:tr>
      <w:tr w:rsidR="008337CC" w:rsidRPr="007B347E" w14:paraId="40B6EF20" w14:textId="77777777" w:rsidTr="0021050E">
        <w:trPr>
          <w:trHeight w:val="48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4FD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1DEA4DCA" w14:textId="77777777" w:rsidR="008337CC" w:rsidRPr="0002008D" w:rsidRDefault="008337CC" w:rsidP="0021050E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  <w:r w:rsidRPr="001868A3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Оборудование, его части (при доставке Оборудования в разобранном виде) должны быть надлежащим образом упакованы, исключая утрату или повреждения Оборудования при его перевозке, погрузке и выгрузке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  <w:tr w:rsidR="008337CC" w:rsidRPr="007B347E" w14:paraId="76A4F58F" w14:textId="77777777" w:rsidTr="0021050E">
        <w:trPr>
          <w:trHeight w:val="91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B50" w14:textId="77777777" w:rsidR="008337CC" w:rsidRPr="00632E0B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247B6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B247B6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B247B6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*</w:t>
            </w:r>
          </w:p>
          <w:p w14:paraId="3C21C590" w14:textId="77777777" w:rsidR="008337CC" w:rsidRPr="00D16DA5" w:rsidRDefault="008337CC" w:rsidP="0021050E">
            <w:pPr>
              <w:jc w:val="center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E42176">
              <w:rPr>
                <w:rFonts w:eastAsia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Не допускается поставка б/у оборудования, а также выставочных образцов </w:t>
            </w:r>
          </w:p>
        </w:tc>
      </w:tr>
      <w:tr w:rsidR="008337CC" w:rsidRPr="00605EED" w14:paraId="0C327317" w14:textId="77777777" w:rsidTr="0021050E">
        <w:trPr>
          <w:trHeight w:val="94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D65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выполнению сопутствующих работ, оказанию сопутствующих услуг</w:t>
            </w:r>
          </w:p>
          <w:p w14:paraId="4BA4BBA4" w14:textId="77777777" w:rsidR="008337CC" w:rsidRDefault="008337CC" w:rsidP="0021050E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(поставкам необходимых товаров, в т.ч. оборудования, комплекта расходных материалов, предоставления иллюстративных материалов и др.)*</w:t>
            </w:r>
          </w:p>
          <w:p w14:paraId="09BF5527" w14:textId="77777777" w:rsidR="008337CC" w:rsidRPr="00A97F15" w:rsidRDefault="008337CC" w:rsidP="0021050E">
            <w:pPr>
              <w:ind w:left="34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Не предъявляются </w:t>
            </w:r>
          </w:p>
        </w:tc>
      </w:tr>
      <w:tr w:rsidR="008337CC" w:rsidRPr="007B347E" w14:paraId="5BAC3442" w14:textId="77777777" w:rsidTr="0021050E">
        <w:trPr>
          <w:trHeight w:val="56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C7F" w14:textId="77777777" w:rsidR="008337CC" w:rsidRPr="00D21D8F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D21D8F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применяемым материалам, машинам, механизмам, устройствам и их характеристикам. *</w:t>
            </w:r>
          </w:p>
          <w:p w14:paraId="77643E05" w14:textId="77777777" w:rsidR="008337CC" w:rsidRPr="00184FD9" w:rsidRDefault="008337CC" w:rsidP="0021050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В соответствии с установленными требованиями и нормами завода изготовителя</w:t>
            </w:r>
          </w:p>
        </w:tc>
      </w:tr>
      <w:tr w:rsidR="008337CC" w:rsidRPr="00605EED" w14:paraId="3F59EF74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85DBE49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337CC" w:rsidRPr="007B347E" w14:paraId="1A57F017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592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66FC7979" w14:textId="77777777" w:rsidR="008337CC" w:rsidRDefault="008337CC" w:rsidP="0021050E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</w:t>
            </w: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ребование испытаний, контрольных пусков, подписания актов технического контроля, иных документов)</w:t>
            </w:r>
          </w:p>
          <w:p w14:paraId="7ECD0579" w14:textId="77777777" w:rsidR="008337CC" w:rsidRPr="00F91393" w:rsidRDefault="008337CC" w:rsidP="0021050E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Приемка оборудования с подписанием необходимой документации производится по месту доставки оборудования, по итогам выполнения работ отраженных в п2.1.3</w:t>
            </w:r>
          </w:p>
        </w:tc>
      </w:tr>
      <w:tr w:rsidR="008337CC" w:rsidRPr="007B347E" w14:paraId="588BE377" w14:textId="77777777" w:rsidTr="0021050E">
        <w:trPr>
          <w:trHeight w:val="70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305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02BD874B" w14:textId="77777777" w:rsidR="008337CC" w:rsidRPr="002B7EEF" w:rsidRDefault="008337CC" w:rsidP="00210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 xml:space="preserve">Одновременно с передачей Оборудования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 xml:space="preserve"> обязан передать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Покупателю </w:t>
            </w: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оригиналы всей товарно-сопроводительной и иной документации, относящейся к Оборудованию на русском языке, в том числе:</w:t>
            </w:r>
          </w:p>
          <w:p w14:paraId="3BFBFEDF" w14:textId="77777777" w:rsidR="008337CC" w:rsidRPr="002B7EEF" w:rsidRDefault="008337CC" w:rsidP="00210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- товарная накладная (ТОРГ-12) и счет-фактура либо универсальный передаточный документ (УПД);</w:t>
            </w:r>
          </w:p>
          <w:p w14:paraId="4D6D7473" w14:textId="77777777" w:rsidR="008337CC" w:rsidRPr="002B7EEF" w:rsidRDefault="008337CC" w:rsidP="00210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- товарно-транспортная накладная (ТТН);</w:t>
            </w:r>
          </w:p>
          <w:p w14:paraId="7B193C89" w14:textId="77777777" w:rsidR="008337CC" w:rsidRPr="002B7EEF" w:rsidRDefault="008337CC" w:rsidP="00210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- документы, подтверждающие качество (соответствие) товара: сертификаты, декларации;</w:t>
            </w:r>
          </w:p>
          <w:p w14:paraId="12344F08" w14:textId="77777777" w:rsidR="008337CC" w:rsidRPr="002B7EEF" w:rsidRDefault="008337CC" w:rsidP="00210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EEF">
              <w:rPr>
                <w:rFonts w:ascii="Times New Roman" w:hAnsi="Times New Roman" w:cs="Times New Roman"/>
                <w:sz w:val="22"/>
                <w:szCs w:val="22"/>
              </w:rPr>
              <w:t>- руководство по эксплуатации, гарантийные документы, каталог запасных частей.</w:t>
            </w:r>
          </w:p>
          <w:p w14:paraId="7BC891BC" w14:textId="77777777" w:rsidR="008337CC" w:rsidRPr="001868A3" w:rsidRDefault="008337CC" w:rsidP="0021050E">
            <w:pPr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337CC" w:rsidRPr="007B347E" w14:paraId="4DFA2611" w14:textId="77777777" w:rsidTr="0021050E">
        <w:trPr>
          <w:trHeight w:val="46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3FA" w14:textId="77777777" w:rsidR="008337CC" w:rsidRPr="00605EED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2C4AD5D5" w14:textId="77777777" w:rsidR="008337CC" w:rsidRPr="0002008D" w:rsidRDefault="008337CC" w:rsidP="0021050E">
            <w:pPr>
              <w:tabs>
                <w:tab w:val="left" w:pos="3360"/>
              </w:tabs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Требуется проведение обучения сотрудников Покупателя при первом вводе техники в эксплуатацию, силами и за счет поставщика</w:t>
            </w:r>
          </w:p>
        </w:tc>
      </w:tr>
      <w:tr w:rsidR="008337CC" w:rsidRPr="007B347E" w14:paraId="637B1A49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0934447" w14:textId="77777777" w:rsidR="008337CC" w:rsidRPr="003463D8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463D8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7CAF130F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3463D8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337CC" w:rsidRPr="007B347E" w14:paraId="634BB0C6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BD5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Поставка товара Поставщиком,  до адреса Покупателя: с. Топки Лев-толстовского района Липецкой области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  <w:tr w:rsidR="008337CC" w:rsidRPr="00605EED" w14:paraId="75B9DE8E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9C9972F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8337CC" w:rsidRPr="00605EED" w14:paraId="57712AF5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F0C8" w14:textId="77777777" w:rsidR="008337CC" w:rsidRPr="0002008D" w:rsidRDefault="008337CC" w:rsidP="0021050E">
            <w:pPr>
              <w:tabs>
                <w:tab w:val="left" w:pos="3336"/>
              </w:tabs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Отсутствуют</w:t>
            </w:r>
          </w:p>
        </w:tc>
      </w:tr>
      <w:tr w:rsidR="008337CC" w:rsidRPr="007B347E" w14:paraId="60B2826A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89CE0D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337CC" w:rsidRPr="00605EED" w14:paraId="7E78816C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777" w14:textId="77777777" w:rsidR="008337CC" w:rsidRDefault="008337CC" w:rsidP="0021050E">
            <w:pPr>
              <w:tabs>
                <w:tab w:val="left" w:pos="4224"/>
              </w:tabs>
              <w:ind w:left="360"/>
              <w:jc w:val="both"/>
              <w:rPr>
                <w:sz w:val="22"/>
                <w:szCs w:val="22"/>
                <w:lang w:val="ru-RU"/>
              </w:rPr>
            </w:pPr>
            <w:r w:rsidRPr="00371F66">
              <w:rPr>
                <w:sz w:val="22"/>
                <w:szCs w:val="22"/>
                <w:lang w:val="ru-RU"/>
              </w:rPr>
              <w:t>Поставщик предоставляет Покупателю гарантию на</w:t>
            </w:r>
            <w:r>
              <w:rPr>
                <w:sz w:val="22"/>
                <w:szCs w:val="22"/>
                <w:lang w:val="ru-RU"/>
              </w:rPr>
              <w:t xml:space="preserve"> поставляемое оборудование. Согласно гарантии завода производителя</w:t>
            </w:r>
          </w:p>
          <w:p w14:paraId="718B0CD7" w14:textId="77777777" w:rsidR="008337CC" w:rsidRPr="0002008D" w:rsidRDefault="008337CC" w:rsidP="0021050E">
            <w:pPr>
              <w:tabs>
                <w:tab w:val="left" w:pos="4224"/>
              </w:tabs>
              <w:ind w:left="36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337CC" w:rsidRPr="007B347E" w14:paraId="22AD2FE2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00A0D09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4CA2F566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337CC" w:rsidRPr="00605EED" w14:paraId="1022FB2F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52B" w14:textId="77777777" w:rsidR="008337CC" w:rsidRPr="0002008D" w:rsidRDefault="008337CC" w:rsidP="0021050E">
            <w:pPr>
              <w:tabs>
                <w:tab w:val="left" w:pos="4116"/>
              </w:tabs>
              <w:ind w:left="360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</w:t>
            </w:r>
            <w:r w:rsidRPr="0002008D">
              <w:rPr>
                <w:rFonts w:eastAsia="Times New Roman" w:cs="Times New Roman"/>
                <w:sz w:val="22"/>
                <w:szCs w:val="22"/>
                <w:lang w:val="ru-RU"/>
              </w:rPr>
              <w:t>тсутствуют</w:t>
            </w:r>
          </w:p>
        </w:tc>
      </w:tr>
      <w:tr w:rsidR="008337CC" w:rsidRPr="007B347E" w14:paraId="4AD6B252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90AF784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24C65AB2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68922D09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337CC" w:rsidRPr="007B347E" w14:paraId="42E42F19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3DDE4" w14:textId="22091E79" w:rsidR="008337CC" w:rsidRPr="0002008D" w:rsidRDefault="008337CC" w:rsidP="0021050E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Поставка оборудования до склада Покупателя – до </w:t>
            </w:r>
            <w:r w:rsidR="00485B32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01.03.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202</w:t>
            </w:r>
            <w:r w:rsidR="00485B32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8337CC" w:rsidRPr="007B347E" w14:paraId="71C903BE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6EF9F8F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337CC" w:rsidRPr="00605EED" w14:paraId="1A8045C1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536" w14:textId="77777777" w:rsidR="008337CC" w:rsidRPr="00024F6C" w:rsidRDefault="008337CC" w:rsidP="0021050E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Официальный дилер</w:t>
            </w:r>
          </w:p>
        </w:tc>
      </w:tr>
      <w:tr w:rsidR="008337CC" w:rsidRPr="007B347E" w14:paraId="6226B8CE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600CE7C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7FE4EEE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337CC" w:rsidRPr="00605EED" w14:paraId="6900E734" w14:textId="77777777" w:rsidTr="0021050E">
        <w:trPr>
          <w:trHeight w:val="28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775" w14:textId="77777777" w:rsidR="008337CC" w:rsidRPr="0002008D" w:rsidRDefault="008337CC" w:rsidP="0021050E">
            <w:pPr>
              <w:ind w:left="360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8337CC" w:rsidRPr="00605EED" w14:paraId="49DE3F68" w14:textId="77777777" w:rsidTr="0021050E">
        <w:trPr>
          <w:trHeight w:val="22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C78" w14:textId="77777777" w:rsidR="008337CC" w:rsidRDefault="008337CC" w:rsidP="0021050E">
            <w:pPr>
              <w:numPr>
                <w:ilvl w:val="2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9298B9F" w14:textId="77777777" w:rsidR="008337CC" w:rsidRPr="00605EED" w:rsidRDefault="008337CC" w:rsidP="0021050E">
            <w:pPr>
              <w:ind w:left="1224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 w:rsidR="008337CC" w:rsidRPr="00605EED" w14:paraId="6DA9E16E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E33614E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4428D616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(для включения в договор)*</w:t>
            </w:r>
          </w:p>
        </w:tc>
      </w:tr>
      <w:tr w:rsidR="008337CC" w:rsidRPr="00605EED" w14:paraId="398A73C3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3831" w14:textId="36789350" w:rsidR="008337CC" w:rsidRPr="0002008D" w:rsidRDefault="008337CC" w:rsidP="0021050E">
            <w:pPr>
              <w:tabs>
                <w:tab w:val="left" w:pos="3552"/>
              </w:tabs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отсутс</w:t>
            </w:r>
            <w:r w:rsidR="007D13C0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т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вуют</w:t>
            </w:r>
          </w:p>
        </w:tc>
      </w:tr>
      <w:tr w:rsidR="008337CC" w:rsidRPr="007B347E" w14:paraId="108A9099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F87D004" w14:textId="77777777" w:rsidR="008337CC" w:rsidRPr="00605EED" w:rsidRDefault="008337CC" w:rsidP="0021050E">
            <w:pPr>
              <w:numPr>
                <w:ilvl w:val="1"/>
                <w:numId w:val="1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6843EA90" w14:textId="77777777" w:rsidR="008337CC" w:rsidRPr="00605EED" w:rsidRDefault="008337CC" w:rsidP="0021050E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8337CC" w:rsidRPr="00605EED" w14:paraId="7C858126" w14:textId="77777777" w:rsidTr="0021050E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01D8" w14:textId="2CBBAA14" w:rsidR="008337CC" w:rsidRPr="0002008D" w:rsidRDefault="008337CC" w:rsidP="0021050E">
            <w:pPr>
              <w:ind w:left="360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отсутс</w:t>
            </w:r>
            <w:r w:rsidR="007D13C0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т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вуют</w:t>
            </w:r>
          </w:p>
        </w:tc>
      </w:tr>
    </w:tbl>
    <w:p w14:paraId="28B88C29" w14:textId="77777777" w:rsidR="008337CC" w:rsidRPr="00605EED" w:rsidRDefault="008337CC" w:rsidP="008337CC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337CC" w:rsidRPr="00605EED" w14:paraId="6E5E7778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AE5D663" w14:textId="77777777" w:rsidR="008337CC" w:rsidRPr="00605EED" w:rsidRDefault="008337CC" w:rsidP="002105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Коммерческая документация</w:t>
            </w:r>
          </w:p>
        </w:tc>
      </w:tr>
      <w:tr w:rsidR="008337CC" w:rsidRPr="007B347E" w14:paraId="160F9AA7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91A18D3" w14:textId="77777777" w:rsidR="008337CC" w:rsidRPr="00605EED" w:rsidRDefault="008337CC" w:rsidP="0021050E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39373596" w14:textId="77777777" w:rsidR="008337CC" w:rsidRPr="00605EED" w:rsidRDefault="008337CC" w:rsidP="0021050E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337CC" w:rsidRPr="007B347E" w14:paraId="5242EBD9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65E" w14:textId="2A217734" w:rsidR="008337CC" w:rsidRPr="0002008D" w:rsidRDefault="007B347E" w:rsidP="0021050E">
            <w:pPr>
              <w:spacing w:line="276" w:lineRule="auto"/>
              <w:ind w:left="360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О</w:t>
            </w:r>
            <w:r w:rsidR="008337CC">
              <w:rPr>
                <w:rFonts w:eastAsia="Times New Roman" w:cs="Times New Roman"/>
                <w:sz w:val="22"/>
                <w:szCs w:val="22"/>
                <w:lang w:val="ru-RU"/>
              </w:rPr>
              <w:t>тсрочка 100% платежа на 30 календарных дней с даты поставки оборудования</w:t>
            </w:r>
          </w:p>
        </w:tc>
      </w:tr>
      <w:tr w:rsidR="008337CC" w:rsidRPr="007B347E" w14:paraId="0BDE274B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C5ECCA8" w14:textId="77777777" w:rsidR="008337CC" w:rsidRPr="00605EED" w:rsidRDefault="008337CC" w:rsidP="0021050E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337CC" w:rsidRPr="00605EED" w14:paraId="709DB840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F34" w14:textId="77777777" w:rsidR="008337CC" w:rsidRPr="0002008D" w:rsidRDefault="008337CC" w:rsidP="0021050E">
            <w:pPr>
              <w:spacing w:line="276" w:lineRule="auto"/>
              <w:ind w:left="360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sz w:val="22"/>
                <w:szCs w:val="22"/>
                <w:lang w:val="ru-RU"/>
              </w:rPr>
              <w:t>Отсутствуют</w:t>
            </w:r>
          </w:p>
        </w:tc>
      </w:tr>
      <w:tr w:rsidR="008337CC" w:rsidRPr="00605EED" w14:paraId="71C0C301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B271B3" w14:textId="77777777" w:rsidR="008337CC" w:rsidRPr="00605EED" w:rsidRDefault="008337CC" w:rsidP="0021050E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337CC" w:rsidRPr="00605EED" w14:paraId="7F92B8C8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5FB9F" w14:textId="77777777" w:rsidR="008337CC" w:rsidRPr="0002008D" w:rsidRDefault="008337CC" w:rsidP="0021050E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02008D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Р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оссийские рубли</w:t>
            </w:r>
          </w:p>
        </w:tc>
      </w:tr>
      <w:tr w:rsidR="008337CC" w:rsidRPr="00605EED" w14:paraId="1E6DBC0E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C7CF70" w14:textId="77777777" w:rsidR="008337CC" w:rsidRPr="00605EED" w:rsidRDefault="008337CC" w:rsidP="0021050E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Прочие требования</w:t>
            </w:r>
          </w:p>
        </w:tc>
      </w:tr>
      <w:tr w:rsidR="008337CC" w:rsidRPr="007B347E" w14:paraId="4DEA3C0B" w14:textId="77777777" w:rsidTr="0021050E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19AF" w14:textId="77777777" w:rsidR="008337CC" w:rsidRPr="001868A3" w:rsidRDefault="008337CC" w:rsidP="00210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Цена Оборудования включает в себя все расходы и затраты Поставщика, связанные с исполнением Договора, в том числе: налоги и сборы, стоимость приобретения Оборудования, ввоза в РФ, доставки до согласованного Сторонами места, затраты по оформлению необходимой документации, его гарантийному обслуживанию, консультирование и инструктаж сотрудников Покупателя по вопросам эксплуатации и обслуживания Оборудования. </w:t>
            </w:r>
          </w:p>
        </w:tc>
      </w:tr>
    </w:tbl>
    <w:p w14:paraId="2E0E5A5F" w14:textId="77777777" w:rsidR="008337CC" w:rsidRPr="00605EED" w:rsidRDefault="008337CC" w:rsidP="008337CC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77ADC952" w14:textId="77777777" w:rsidR="008337CC" w:rsidRPr="00605EED" w:rsidRDefault="008337CC" w:rsidP="008337CC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611154AF" w14:textId="77777777" w:rsidR="008337CC" w:rsidRPr="00605EED" w:rsidRDefault="008337CC" w:rsidP="008337CC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605EED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14:paraId="70EAAE30" w14:textId="77777777" w:rsidR="008337CC" w:rsidRPr="00605EED" w:rsidRDefault="008337CC" w:rsidP="008337CC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p w14:paraId="762967DD" w14:textId="77777777" w:rsidR="008337CC" w:rsidRPr="00605EED" w:rsidRDefault="008337CC" w:rsidP="008337CC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p w14:paraId="2D827003" w14:textId="77777777" w:rsidR="008337CC" w:rsidRPr="00605EED" w:rsidRDefault="008337CC" w:rsidP="008337CC">
      <w:pPr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bookmarkEnd w:id="0"/>
    <w:p w14:paraId="000FFE22" w14:textId="77777777" w:rsidR="008337CC" w:rsidRPr="00605EED" w:rsidRDefault="008337CC" w:rsidP="008337CC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p w14:paraId="00950611" w14:textId="77777777" w:rsidR="008337CC" w:rsidRPr="00213822" w:rsidRDefault="008337CC" w:rsidP="008337CC">
      <w:pPr>
        <w:rPr>
          <w:lang w:val="ru-RU"/>
        </w:rPr>
      </w:pPr>
    </w:p>
    <w:p w14:paraId="701677FE" w14:textId="77777777" w:rsidR="008337CC" w:rsidRPr="000C2236" w:rsidRDefault="008337CC" w:rsidP="008337CC">
      <w:pPr>
        <w:rPr>
          <w:lang w:val="ru-RU"/>
        </w:rPr>
      </w:pPr>
    </w:p>
    <w:p w14:paraId="29062D26" w14:textId="77777777" w:rsidR="008337CC" w:rsidRPr="00694991" w:rsidRDefault="008337CC" w:rsidP="008337CC">
      <w:pPr>
        <w:rPr>
          <w:lang w:val="ru-RU"/>
        </w:rPr>
      </w:pPr>
    </w:p>
    <w:p w14:paraId="752EFE14" w14:textId="77777777" w:rsidR="00BC0437" w:rsidRPr="008337CC" w:rsidRDefault="00BC0437">
      <w:pPr>
        <w:rPr>
          <w:lang w:val="ru-RU"/>
        </w:rPr>
      </w:pPr>
    </w:p>
    <w:sectPr w:rsidR="00BC0437" w:rsidRPr="008337CC" w:rsidSect="008A0CFA">
      <w:headerReference w:type="default" r:id="rId8"/>
      <w:footerReference w:type="default" r:id="rId9"/>
      <w:pgSz w:w="11909" w:h="16834" w:code="9"/>
      <w:pgMar w:top="822" w:right="709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BF49" w14:textId="77777777" w:rsidR="00437926" w:rsidRDefault="00437926">
      <w:r>
        <w:separator/>
      </w:r>
    </w:p>
  </w:endnote>
  <w:endnote w:type="continuationSeparator" w:id="0">
    <w:p w14:paraId="79F93571" w14:textId="77777777" w:rsidR="00437926" w:rsidRDefault="0043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95D1" w14:textId="77777777" w:rsidR="00FB6C76" w:rsidRDefault="005F143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E11AE5">
      <w:rPr>
        <w:noProof/>
        <w:lang w:val="ru-RU"/>
      </w:rPr>
      <w:t>1</w:t>
    </w:r>
    <w:r>
      <w:fldChar w:fldCharType="end"/>
    </w:r>
  </w:p>
  <w:p w14:paraId="4DBC4F50" w14:textId="77777777" w:rsidR="00FB6C76" w:rsidRPr="008B332D" w:rsidRDefault="007B347E" w:rsidP="008B3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CDB2" w14:textId="77777777" w:rsidR="00437926" w:rsidRDefault="00437926">
      <w:r>
        <w:separator/>
      </w:r>
    </w:p>
  </w:footnote>
  <w:footnote w:type="continuationSeparator" w:id="0">
    <w:p w14:paraId="0CB33CAE" w14:textId="77777777" w:rsidR="00437926" w:rsidRDefault="0043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CCADD9C" w14:paraId="701AED70" w14:textId="77777777" w:rsidTr="0CCADD9C">
      <w:tc>
        <w:tcPr>
          <w:tcW w:w="3540" w:type="dxa"/>
        </w:tcPr>
        <w:p w14:paraId="6CFEDFB2" w14:textId="77777777" w:rsidR="0CCADD9C" w:rsidRDefault="007B347E" w:rsidP="0CCADD9C">
          <w:pPr>
            <w:pStyle w:val="a3"/>
            <w:ind w:left="-115"/>
            <w:rPr>
              <w:color w:val="808080" w:themeColor="background1" w:themeShade="80"/>
            </w:rPr>
          </w:pPr>
        </w:p>
      </w:tc>
      <w:tc>
        <w:tcPr>
          <w:tcW w:w="3540" w:type="dxa"/>
        </w:tcPr>
        <w:p w14:paraId="08D8A827" w14:textId="77777777" w:rsidR="0CCADD9C" w:rsidRDefault="007B347E" w:rsidP="0CCADD9C">
          <w:pPr>
            <w:pStyle w:val="a3"/>
            <w:jc w:val="center"/>
            <w:rPr>
              <w:color w:val="808080" w:themeColor="background1" w:themeShade="80"/>
            </w:rPr>
          </w:pPr>
        </w:p>
      </w:tc>
      <w:tc>
        <w:tcPr>
          <w:tcW w:w="3540" w:type="dxa"/>
        </w:tcPr>
        <w:p w14:paraId="7AB796A3" w14:textId="77777777" w:rsidR="0CCADD9C" w:rsidRDefault="007B347E" w:rsidP="0CCADD9C">
          <w:pPr>
            <w:pStyle w:val="a3"/>
            <w:ind w:right="-115"/>
            <w:jc w:val="right"/>
            <w:rPr>
              <w:color w:val="808080" w:themeColor="background1" w:themeShade="80"/>
            </w:rPr>
          </w:pPr>
        </w:p>
      </w:tc>
    </w:tr>
  </w:tbl>
  <w:p w14:paraId="5413D633" w14:textId="77777777" w:rsidR="0CCADD9C" w:rsidRDefault="007B347E" w:rsidP="0CCADD9C">
    <w:pPr>
      <w:pStyle w:val="a3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B914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8546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C"/>
    <w:rsid w:val="00155E15"/>
    <w:rsid w:val="00213691"/>
    <w:rsid w:val="002927C8"/>
    <w:rsid w:val="00437926"/>
    <w:rsid w:val="00485B32"/>
    <w:rsid w:val="0058200A"/>
    <w:rsid w:val="005C3F2A"/>
    <w:rsid w:val="005F143D"/>
    <w:rsid w:val="007B347E"/>
    <w:rsid w:val="007D13C0"/>
    <w:rsid w:val="008337CC"/>
    <w:rsid w:val="008561DC"/>
    <w:rsid w:val="00882386"/>
    <w:rsid w:val="009D770E"/>
    <w:rsid w:val="00B91438"/>
    <w:rsid w:val="00BC0437"/>
    <w:rsid w:val="00C65F92"/>
    <w:rsid w:val="00C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FE8C"/>
  <w15:chartTrackingRefBased/>
  <w15:docId w15:val="{2EB3D7D2-7879-4D49-A0B2-10076CDD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CC"/>
    <w:pPr>
      <w:spacing w:after="0" w:line="240" w:lineRule="auto"/>
    </w:pPr>
    <w:rPr>
      <w:rFonts w:ascii="Times New Roman" w:eastAsia="MS Mincho" w:hAnsi="Times New Roman" w:cs="Arial"/>
      <w:color w:val="000000"/>
      <w:sz w:val="28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8337CC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8337CC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8337CC"/>
    <w:rPr>
      <w:rFonts w:ascii="Times New Roman" w:eastAsia="MS Mincho" w:hAnsi="Times New Roman" w:cs="Arial"/>
      <w:color w:val="808080"/>
      <w:sz w:val="16"/>
      <w:szCs w:val="16"/>
      <w:lang w:val="en-US"/>
    </w:rPr>
  </w:style>
  <w:style w:type="paragraph" w:styleId="a5">
    <w:name w:val="footer"/>
    <w:basedOn w:val="a"/>
    <w:link w:val="a6"/>
    <w:uiPriority w:val="99"/>
    <w:rsid w:val="008337CC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337CC"/>
    <w:rPr>
      <w:rFonts w:ascii="Times New Roman" w:eastAsia="MS Mincho" w:hAnsi="Times New Roman" w:cs="Arial"/>
      <w:color w:val="808080"/>
      <w:sz w:val="16"/>
      <w:szCs w:val="16"/>
      <w:lang w:val="en-US"/>
    </w:rPr>
  </w:style>
  <w:style w:type="character" w:styleId="a7">
    <w:name w:val="Hyperlink"/>
    <w:uiPriority w:val="99"/>
    <w:rsid w:val="008337CC"/>
    <w:rPr>
      <w:rFonts w:ascii="Times New Roman" w:hAnsi="Times New Roman" w:cs="Times New Roman"/>
      <w:color w:val="0000FF"/>
      <w:u w:val="single"/>
    </w:rPr>
  </w:style>
  <w:style w:type="paragraph" w:styleId="a8">
    <w:name w:val="No Spacing"/>
    <w:uiPriority w:val="1"/>
    <w:qFormat/>
    <w:rsid w:val="00833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3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.simonov@agroinves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A1ECD-7634-44E7-91CF-AB64AEC6C8C9}"/>
</file>

<file path=customXml/itemProps2.xml><?xml version="1.0" encoding="utf-8"?>
<ds:datastoreItem xmlns:ds="http://schemas.openxmlformats.org/officeDocument/2006/customXml" ds:itemID="{04A8526F-6FC0-4A0B-AEB4-4224E204C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Александр Петров</dc:creator>
  <cp:keywords/>
  <dc:description/>
  <cp:lastModifiedBy>Вострикова Антонина Юрьевна</cp:lastModifiedBy>
  <cp:revision>18</cp:revision>
  <dcterms:created xsi:type="dcterms:W3CDTF">2022-10-13T11:22:00Z</dcterms:created>
  <dcterms:modified xsi:type="dcterms:W3CDTF">2023-01-31T06:41:00Z</dcterms:modified>
</cp:coreProperties>
</file>